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702EF2">
              <w:rPr>
                <w:rFonts w:ascii="Calibri" w:hAnsi="Calibri" w:cs="Arial"/>
                <w:b/>
                <w:bCs/>
                <w:sz w:val="22"/>
                <w:szCs w:val="22"/>
              </w:rPr>
              <w:t>20-07-2017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702EF2">
              <w:rPr>
                <w:rFonts w:ascii="Calibri" w:hAnsi="Calibri" w:cs="Arial"/>
                <w:b/>
                <w:bCs/>
                <w:sz w:val="22"/>
                <w:szCs w:val="22"/>
              </w:rPr>
              <w:t>1578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RPr="00984904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</w:t>
            </w:r>
            <w:r w:rsidRPr="00984904">
              <w:rPr>
                <w:rFonts w:ascii="Calibri" w:hAnsi="Calibri" w:cs="Arial"/>
                <w:b/>
                <w:bCs/>
                <w:sz w:val="22"/>
                <w:szCs w:val="22"/>
                <w:u w:val="single"/>
                <w:lang w:val="en-US"/>
              </w:rPr>
              <w:t xml:space="preserve">: </w:t>
            </w:r>
            <w:r w:rsidR="00984904">
              <w:rPr>
                <w:rFonts w:ascii="Calibri" w:hAnsi="Calibri" w:cs="Arial"/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984904" w:rsidRPr="0098490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TUV HELLAS</w:t>
            </w:r>
            <w:r w:rsidR="0098490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:rsidR="00984904" w:rsidRDefault="00984904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TUN NORD GROUP</w:t>
            </w:r>
          </w:p>
          <w:p w:rsidR="00984904" w:rsidRPr="00984904" w:rsidRDefault="00984904" w:rsidP="00D14462">
            <w:pPr>
              <w:rPr>
                <w:lang w:val="en-US"/>
              </w:rPr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984904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702EF2" w:rsidRDefault="007B78C3" w:rsidP="009468E2">
      <w:pPr>
        <w:jc w:val="both"/>
        <w:rPr>
          <w:rFonts w:ascii="Calibri" w:hAnsi="Calibri" w:cs="Calibri"/>
          <w:b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7D264F" w:rsidRPr="007D264F">
        <w:rPr>
          <w:rFonts w:ascii="Calibri" w:hAnsi="Calibri" w:cs="Calibri"/>
          <w:sz w:val="22"/>
          <w:szCs w:val="22"/>
        </w:rPr>
        <w:t>παροχής  υπηρεσία</w:t>
      </w:r>
      <w:r w:rsidR="007D264F">
        <w:rPr>
          <w:rFonts w:ascii="Calibri" w:hAnsi="Calibri" w:cs="Calibri"/>
          <w:sz w:val="22"/>
          <w:szCs w:val="22"/>
        </w:rPr>
        <w:t>ς</w:t>
      </w:r>
      <w:r w:rsidR="007D264F" w:rsidRPr="00CC3116">
        <w:rPr>
          <w:rFonts w:ascii="Calibri" w:hAnsi="Calibri" w:cs="Calibri"/>
          <w:b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702EF2">
        <w:rPr>
          <w:rFonts w:ascii="Calibri" w:hAnsi="Calibri"/>
          <w:bCs/>
          <w:sz w:val="22"/>
          <w:szCs w:val="22"/>
        </w:rPr>
        <w:t xml:space="preserve"> </w:t>
      </w:r>
      <w:r w:rsidR="00702EF2" w:rsidRPr="00702EF2">
        <w:rPr>
          <w:rFonts w:ascii="Calibri" w:hAnsi="Calibri" w:cs="Calibri"/>
          <w:b/>
          <w:sz w:val="22"/>
          <w:szCs w:val="22"/>
        </w:rPr>
        <w:t>¨</w:t>
      </w:r>
      <w:r w:rsidR="007D264F" w:rsidRPr="00702EF2">
        <w:rPr>
          <w:rFonts w:ascii="Calibri" w:hAnsi="Calibri" w:cs="Calibri"/>
          <w:b/>
          <w:sz w:val="22"/>
          <w:szCs w:val="22"/>
        </w:rPr>
        <w:t>Για την πιστοποίηση της παιδικής χαράς εντ</w:t>
      </w:r>
      <w:r w:rsidR="00702EF2" w:rsidRPr="00702EF2">
        <w:rPr>
          <w:rFonts w:ascii="Calibri" w:hAnsi="Calibri" w:cs="Calibri"/>
          <w:b/>
          <w:sz w:val="22"/>
          <w:szCs w:val="22"/>
        </w:rPr>
        <w:t>ός του Παιδικού Σταθμού Πλατέος¨</w:t>
      </w:r>
      <w:r w:rsidR="009468E2" w:rsidRPr="00702EF2">
        <w:rPr>
          <w:rFonts w:ascii="Calibri" w:hAnsi="Calibri" w:cs="Calibri"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7D264F">
        <w:rPr>
          <w:rFonts w:ascii="Calibri" w:hAnsi="Calibri"/>
          <w:b/>
          <w:bCs/>
          <w:color w:val="000000"/>
          <w:sz w:val="22"/>
          <w:szCs w:val="22"/>
          <w:lang w:eastAsia="el-GR"/>
        </w:rPr>
        <w:t>483,60</w:t>
      </w:r>
      <w:r w:rsidR="007D264F" w:rsidRPr="002A57D1">
        <w:rPr>
          <w:rFonts w:ascii="Calibri" w:hAnsi="Calibri"/>
          <w:b/>
          <w:bCs/>
          <w:color w:val="000000"/>
          <w:sz w:val="22"/>
          <w:szCs w:val="22"/>
          <w:lang w:eastAsia="el-GR"/>
        </w:rPr>
        <w:t>Ευρώ</w:t>
      </w:r>
      <w:r w:rsidR="007D264F" w:rsidRPr="009A0903">
        <w:rPr>
          <w:rFonts w:ascii="Calibri" w:hAnsi="Calibri"/>
          <w:sz w:val="22"/>
          <w:szCs w:val="22"/>
        </w:rPr>
        <w:t xml:space="preserve"> </w:t>
      </w:r>
      <w:r w:rsidR="007D264F" w:rsidRPr="000D6A77">
        <w:rPr>
          <w:rFonts w:ascii="Calibri" w:hAnsi="Calibri" w:cs="Calibri"/>
          <w:sz w:val="22"/>
          <w:szCs w:val="22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7D264F" w:rsidRPr="008C6DB8">
        <w:rPr>
          <w:rFonts w:ascii="Calibri" w:hAnsi="Calibri"/>
          <w:bCs/>
          <w:sz w:val="22"/>
          <w:szCs w:val="22"/>
        </w:rPr>
        <w:t>942/02-06-2017</w:t>
      </w:r>
      <w:r w:rsidR="007D264F">
        <w:rPr>
          <w:rFonts w:asciiTheme="minorHAnsi" w:hAnsiTheme="minorHAnsi" w:cstheme="minorHAnsi"/>
          <w:sz w:val="22"/>
          <w:szCs w:val="22"/>
        </w:rPr>
        <w:t xml:space="preserve"> 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702EF2">
        <w:rPr>
          <w:rFonts w:asciiTheme="minorHAnsi" w:hAnsiTheme="minorHAnsi" w:cstheme="minorHAnsi"/>
          <w:bCs/>
          <w:color w:val="000000"/>
          <w:sz w:val="22"/>
          <w:szCs w:val="22"/>
        </w:rPr>
        <w:t>25-07-2017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702EF2" w:rsidRDefault="00B10C62" w:rsidP="00721E6F">
      <w:pPr>
        <w:ind w:firstLine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62A29" w:rsidRPr="00162A29" w:rsidRDefault="00162A29" w:rsidP="00702EF2">
      <w:pPr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721E6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721E6F" w:rsidRDefault="00721E6F" w:rsidP="00721E6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721E6F" w:rsidRDefault="00721E6F" w:rsidP="00721E6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Pr="00162A29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>
        <w:rPr>
          <w:rFonts w:asciiTheme="minorHAnsi" w:hAnsiTheme="minorHAnsi" w:cstheme="minorHAnsi"/>
          <w:b/>
          <w:sz w:val="22"/>
          <w:szCs w:val="22"/>
        </w:rPr>
        <w:t>, πιστοποιητικά των αρμοδίων ασφαλιστικών φορέων, έναντι των οποίων έχει υποχρέωση καταβολής εισφορών</w:t>
      </w:r>
      <w:r w:rsidRPr="00162A29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Default="00162A29" w:rsidP="00721E6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7D264F" w:rsidRDefault="007D264F" w:rsidP="00721E6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264F" w:rsidRDefault="007D264F" w:rsidP="00721E6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D264F" w:rsidRPr="00162A29" w:rsidRDefault="007D264F" w:rsidP="00721E6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81892"/>
    <w:rsid w:val="001B2CED"/>
    <w:rsid w:val="00267BFD"/>
    <w:rsid w:val="00273AD8"/>
    <w:rsid w:val="002779F5"/>
    <w:rsid w:val="002E3DD8"/>
    <w:rsid w:val="00336FD7"/>
    <w:rsid w:val="00364F99"/>
    <w:rsid w:val="00411B0D"/>
    <w:rsid w:val="00454279"/>
    <w:rsid w:val="00496760"/>
    <w:rsid w:val="00497DFB"/>
    <w:rsid w:val="004C15DD"/>
    <w:rsid w:val="00613C17"/>
    <w:rsid w:val="00635C23"/>
    <w:rsid w:val="00673613"/>
    <w:rsid w:val="006E10D8"/>
    <w:rsid w:val="006F2C30"/>
    <w:rsid w:val="00702EF2"/>
    <w:rsid w:val="00721E6F"/>
    <w:rsid w:val="007B78C3"/>
    <w:rsid w:val="007D264F"/>
    <w:rsid w:val="007F4249"/>
    <w:rsid w:val="008742CA"/>
    <w:rsid w:val="00886994"/>
    <w:rsid w:val="008D1FFD"/>
    <w:rsid w:val="009468E2"/>
    <w:rsid w:val="00984904"/>
    <w:rsid w:val="00A37AD1"/>
    <w:rsid w:val="00A628BA"/>
    <w:rsid w:val="00A75B3B"/>
    <w:rsid w:val="00B10C62"/>
    <w:rsid w:val="00B33858"/>
    <w:rsid w:val="00B658BA"/>
    <w:rsid w:val="00BA0533"/>
    <w:rsid w:val="00BD77C7"/>
    <w:rsid w:val="00CE50D9"/>
    <w:rsid w:val="00D14462"/>
    <w:rsid w:val="00D61757"/>
    <w:rsid w:val="00DF6B47"/>
    <w:rsid w:val="00E124A6"/>
    <w:rsid w:val="00E70631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2017-07-18T09:13:00Z</dcterms:created>
  <dcterms:modified xsi:type="dcterms:W3CDTF">2017-07-20T10:02:00Z</dcterms:modified>
</cp:coreProperties>
</file>