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  <w:u w:val="single"/>
          <w:lang w:val="en-US"/>
        </w:rPr>
      </w:pPr>
      <w:r>
        <w:rPr>
          <w:rFonts w:ascii="Arial" w:cs="Arial" w:hAnsi="Arial"/>
          <w:b/>
          <w:u w:val="single"/>
        </w:rPr>
        <w:t>ΕΝΤΥΠΟ Π</w:t>
      </w:r>
      <w:r>
        <w:rPr>
          <w:rFonts w:ascii="Arial" w:cs="Arial" w:hAnsi="Arial"/>
          <w:b/>
          <w:u w:val="single"/>
          <w:lang w:val="en-US"/>
        </w:rPr>
        <w:t>2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ΠΙΝΑΚΑΣ ΜΕΤΑΒΟΛΩΝ ΑΡΙΘΜΟΥ ΠΡΟΣΩΠΙΚΟΥ</w:t>
      </w:r>
    </w:p>
    <w:p>
      <w:pPr>
        <w:pStyle w:val="style0"/>
        <w:suppressAutoHyphens w:val="false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ΑΠΟΚΕΝΤΡΩΜΕΝΗ ΔΙΟΙΚΗΣΗ ΑΤΤΙΚΗΣ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Ειδικός Φορέας 991-06/071</w:t>
      </w:r>
    </w:p>
    <w:p>
      <w:pPr>
        <w:pStyle w:val="style0"/>
        <w:suppressAutoHyphens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516"/>
        <w:gridCol w:w="4348"/>
        <w:gridCol w:w="4423"/>
      </w:tblGrid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4348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ΕΝΙΑΙΟ ΜΙΣΘΟΛΟΓΙΟ</w:t>
            </w:r>
          </w:p>
        </w:tc>
        <w:tc>
          <w:tcPr>
            <w:tcW w:type="dxa" w:w="4423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ΕΙΔΙΚΟ ΜΙΣΘΟΛΟΓΙΟ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Μόνιμοι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</w:t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ΙΔΑΧ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(Β)</w:t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ΙΔΟΧ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(Γ)</w:t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Σύνολο</w:t>
            </w:r>
          </w:p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(Α)+(Β)+(Γ)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προηγούμενου τριμήνου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454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53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507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</w:t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511</w:t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Εισροές προσωπικού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Προσλήψεις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  <w:lang w:val="en-US"/>
              </w:rPr>
            </w:pPr>
            <w:r>
              <w:rPr>
                <w:rFonts w:ascii="Arial" w:cs="Arial" w:hAnsi="Arial"/>
                <w:sz w:val="20"/>
                <w:szCs w:val="22"/>
                <w:lang w:val="en-US"/>
              </w:rPr>
              <w:t>4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Ανάκληση απόσπασης μη μισθοδοτούμενου υπαλλήλου της ΑΔΑ και εκ νέου απόσπαση σε φορέα με επιβάρυνση  του Προϋπολογισμού της ΑΔΑ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1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tabs>
                <w:tab w:leader="none" w:pos="284" w:val="left"/>
              </w:tabs>
              <w:suppressAutoHyphens w:val="false"/>
              <w:ind w:hanging="0" w:left="0" w:right="-108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Εκροές προσωπικού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</w:rPr>
            </w:pPr>
            <w:r>
              <w:rPr>
                <w:rFonts w:ascii="Arial" w:cs="Arial" w:hAnsi="Arial"/>
                <w:sz w:val="20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Αποχωρήσεις λόγω συνταξιοδότησης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1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Αποχωρήσεις λόγω παραίτησης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Λοιπές αποχωρήσεις (θάνατοι κλπ)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 xml:space="preserve">Λοιπές Μετατάξεις/αποσπάσεις κλπ 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  <w:t>2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22"/>
              </w:rPr>
            </w:pPr>
            <w:r>
              <w:rPr>
                <w:rFonts w:ascii="Arial" w:cs="Arial" w:hAnsi="Arial"/>
                <w:b/>
                <w:sz w:val="20"/>
                <w:szCs w:val="2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22"/>
              </w:rPr>
            </w:pPr>
            <w:r>
              <w:rPr>
                <w:rFonts w:ascii="Arial" w:cs="Arial" w:hAnsi="Arial"/>
                <w:sz w:val="20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Αλλαγή Ειδικού Φορέα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  <w:t>2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sz w:val="20"/>
                <w:szCs w:val="12"/>
              </w:rPr>
            </w:pPr>
            <w:r>
              <w:rPr>
                <w:rFonts w:ascii="Arial" w:cs="Arial" w:hAnsi="Arial"/>
                <w:sz w:val="20"/>
                <w:szCs w:val="12"/>
              </w:rPr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  <w:szCs w:val="12"/>
              </w:rPr>
            </w:pPr>
            <w:r>
              <w:rPr>
                <w:rFonts w:ascii="Arial" w:cs="Arial" w:hAnsi="Arial"/>
                <w:b/>
                <w:sz w:val="20"/>
                <w:szCs w:val="12"/>
              </w:rPr>
            </w:r>
          </w:p>
        </w:tc>
      </w:tr>
      <w:tr>
        <w:trPr>
          <w:cantSplit w:val="false"/>
        </w:trPr>
        <w:tc>
          <w:tcPr>
            <w:tcW w:type="dxa" w:w="65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42"/>
              <w:numPr>
                <w:ilvl w:val="0"/>
                <w:numId w:val="1"/>
              </w:numPr>
              <w:suppressAutoHyphens w:val="false"/>
              <w:ind w:hanging="262" w:left="262" w:right="0"/>
              <w:rPr>
                <w:rFonts w:ascii="Arial" w:cs="Arial" w:hAnsi="Arial"/>
                <w:b/>
                <w:sz w:val="20"/>
                <w:vertAlign w:val="superscript"/>
              </w:rPr>
            </w:pPr>
            <w:r>
              <w:rPr>
                <w:rFonts w:ascii="Arial" w:cs="Arial" w:hAnsi="Arial"/>
                <w:b/>
                <w:sz w:val="20"/>
              </w:rPr>
              <w:t>Υπηρετούντες στο τέλος του τριμήνου (4=1+2+3)</w:t>
            </w: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454</w:t>
            </w:r>
          </w:p>
        </w:tc>
        <w:tc>
          <w:tcPr>
            <w:tcW w:type="dxa" w:w="99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53</w:t>
            </w:r>
          </w:p>
        </w:tc>
        <w:tc>
          <w:tcPr>
            <w:tcW w:type="dxa" w:w="96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-</w:t>
            </w:r>
          </w:p>
        </w:tc>
        <w:tc>
          <w:tcPr>
            <w:tcW w:type="dxa" w:w="12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507</w:t>
            </w:r>
          </w:p>
        </w:tc>
        <w:tc>
          <w:tcPr>
            <w:tcW w:type="dxa" w:w="120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4</w:t>
            </w:r>
          </w:p>
        </w:tc>
        <w:tc>
          <w:tcPr>
            <w:tcW w:type="dxa" w:w="10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9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snapToGrid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</w:r>
          </w:p>
        </w:tc>
        <w:tc>
          <w:tcPr>
            <w:tcW w:type="dxa" w:w="130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center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511</w:t>
            </w:r>
          </w:p>
        </w:tc>
      </w:tr>
    </w:tbl>
    <w:p>
      <w:pPr>
        <w:pStyle w:val="style0"/>
        <w:suppressAutoHyphens w:val="false"/>
        <w:ind w:hanging="0" w:left="0" w:right="-598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uppressAutoHyphens w:val="false"/>
        <w:ind w:hanging="0" w:left="-567" w:right="-598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  <w:u w:val="single"/>
        </w:rPr>
        <w:t>ΣΗΜΕΙΩΣΕΙΣ</w:t>
      </w:r>
      <w:r>
        <w:rPr>
          <w:rFonts w:ascii="Arial" w:cs="Arial" w:hAnsi="Arial"/>
          <w:b/>
          <w:sz w:val="20"/>
          <w:szCs w:val="20"/>
        </w:rPr>
        <w:t>:</w:t>
      </w:r>
    </w:p>
    <w:p>
      <w:pPr>
        <w:pStyle w:val="style42"/>
        <w:tabs>
          <w:tab w:leader="none" w:pos="-284" w:val="left"/>
        </w:tabs>
        <w:suppressAutoHyphens w:val="false"/>
        <w:ind w:hanging="0" w:left="-567" w:right="-598"/>
        <w:rPr>
          <w:rFonts w:ascii="Arial" w:cs="Arial" w:hAnsi="Arial"/>
          <w:sz w:val="18"/>
          <w:szCs w:val="20"/>
        </w:rPr>
      </w:pPr>
      <w:r>
        <w:rPr>
          <w:rFonts w:ascii="Arial" w:cs="Arial" w:hAnsi="Arial"/>
          <w:sz w:val="18"/>
          <w:szCs w:val="20"/>
        </w:rPr>
        <w:t xml:space="preserve">1. Προσωπικό που βαρύνει τις πιστώσεις των ΚΑΕ μισθοδοσίας και συμφωνεί με τα αντίστοιχα στοιχεία της ΕΑΠ  </w:t>
      </w:r>
    </w:p>
    <w:p>
      <w:pPr>
        <w:pStyle w:val="style0"/>
        <w:tabs>
          <w:tab w:leader="none" w:pos="11160" w:val="center"/>
        </w:tabs>
        <w:suppressAutoHyphens w:val="false"/>
        <w:ind w:hanging="0" w:left="0" w:right="-598"/>
        <w:rPr>
          <w:rFonts w:ascii="Arial" w:cs="Arial" w:hAnsi="Arial"/>
          <w:sz w:val="18"/>
          <w:szCs w:val="20"/>
          <w:lang w:val="en-US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eastAsia="Arial" w:hAnsi="Arial"/>
          <w:sz w:val="18"/>
          <w:szCs w:val="20"/>
        </w:rPr>
        <w:t xml:space="preserve">    </w:t>
      </w:r>
      <w:r>
        <w:rPr>
          <w:rFonts w:ascii="Arial" w:cs="Arial" w:hAnsi="Arial"/>
          <w:sz w:val="18"/>
          <w:szCs w:val="20"/>
        </w:rPr>
        <w:t xml:space="preserve">19   /  </w:t>
      </w:r>
      <w:r>
        <w:rPr>
          <w:rFonts w:ascii="Arial" w:cs="Arial" w:hAnsi="Arial"/>
          <w:sz w:val="18"/>
          <w:szCs w:val="20"/>
          <w:lang w:val="en-US"/>
        </w:rPr>
        <w:t>0</w:t>
      </w:r>
      <w:r>
        <w:rPr>
          <w:rFonts w:ascii="Arial" w:cs="Arial" w:hAnsi="Arial"/>
          <w:sz w:val="18"/>
          <w:szCs w:val="20"/>
        </w:rPr>
        <w:t>7 /  201</w:t>
      </w:r>
      <w:r>
        <w:rPr>
          <w:rFonts w:ascii="Arial" w:cs="Arial" w:hAnsi="Arial"/>
          <w:sz w:val="18"/>
          <w:szCs w:val="20"/>
          <w:lang w:val="en-US"/>
        </w:rPr>
        <w:t>7</w:t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Η ΔΙΕΥΘΥΝΤΡΙΑ ΟΙΚΟΝΟΜΙΚΟΥ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>ΕΛΕΝΗ ΠΕΠΠΑ</w:t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1906" w:orient="landscape" w:w="16838"/>
      <w:pgMar w:bottom="1134" w:footer="709" w:gutter="0" w:header="0" w:left="1134" w:right="1418" w:top="18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rPr/>
    </w:pPr>
    <w:r>
      <w:rPr/>
    </w:r>
    <w:r>
      <w:pict>
        <v:rect fillcolor="#FFFFFF" style="position:absolute;width:10pt;height:11.5pt;margin-top:0.05pt;margin-left:352.15pt">
          <v:textbox inset="0.05pt,0.05pt,0.05pt,0.05pt">
            <w:txbxContent>
              <w:p>
                <w:pPr>
                  <w:pStyle w:val="style41"/>
                  <w:rPr>
                    <w:rStyle w:val="style34"/>
                  </w:rPr>
                </w:pPr>
                <w:r>
                  <w:rPr>
                    <w:rStyle w:val="style34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side="largest" type="square"/>
        </v:rect>
      </w:pic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Προεπιλεγμένη γραμματοσειρά"/>
    <w:next w:val="style33"/>
    <w:rPr/>
  </w:style>
  <w:style w:styleId="style34" w:type="character">
    <w:name w:val="Page Number"/>
    <w:basedOn w:val="style33"/>
    <w:next w:val="style34"/>
    <w:rPr/>
  </w:style>
  <w:style w:styleId="style35" w:type="character">
    <w:name w:val=" Char Char"/>
    <w:basedOn w:val="style33"/>
    <w:next w:val="style35"/>
    <w:rPr>
      <w:rFonts w:ascii="Times New Roman" w:cs="Times New Roman" w:eastAsia="Times New Roman" w:hAnsi="Times New Roman"/>
      <w:sz w:val="20"/>
      <w:szCs w:val="20"/>
    </w:rPr>
  </w:style>
  <w:style w:styleId="style36" w:type="paragraph">
    <w:name w:val="Heading"/>
    <w:basedOn w:val="style0"/>
    <w:next w:val="style3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7" w:type="paragraph">
    <w:name w:val="Text Body"/>
    <w:basedOn w:val="style0"/>
    <w:next w:val="style37"/>
    <w:pPr>
      <w:spacing w:after="120" w:before="0"/>
      <w:contextualSpacing w:val="false"/>
    </w:pPr>
    <w:rPr/>
  </w:style>
  <w:style w:styleId="style38" w:type="paragraph">
    <w:name w:val="List"/>
    <w:basedOn w:val="style37"/>
    <w:next w:val="style38"/>
    <w:pPr/>
    <w:rPr>
      <w:rFonts w:cs="Mangal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Index"/>
    <w:basedOn w:val="style0"/>
    <w:next w:val="style40"/>
    <w:pPr>
      <w:suppressLineNumbers/>
    </w:pPr>
    <w:rPr>
      <w:rFonts w:cs="Mangal"/>
    </w:rPr>
  </w:style>
  <w:style w:styleId="style41" w:type="paragraph">
    <w:name w:val="Footer"/>
    <w:basedOn w:val="style0"/>
    <w:next w:val="style41"/>
    <w:pPr>
      <w:tabs>
        <w:tab w:leader="none" w:pos="4153" w:val="center"/>
        <w:tab w:leader="none" w:pos="8306" w:val="right"/>
      </w:tabs>
    </w:pPr>
    <w:rPr>
      <w:sz w:val="20"/>
      <w:szCs w:val="20"/>
    </w:rPr>
  </w:style>
  <w:style w:styleId="style42" w:type="paragraph">
    <w:name w:val="Παράγραφος λίστας"/>
    <w:basedOn w:val="style0"/>
    <w:next w:val="style42"/>
    <w:pPr>
      <w:spacing w:after="0" w:before="0"/>
      <w:ind w:hanging="0" w:left="720" w:right="0"/>
      <w:contextualSpacing/>
    </w:pPr>
    <w:rPr/>
  </w:style>
  <w:style w:styleId="style43" w:type="paragraph">
    <w:name w:val="Table Contents"/>
    <w:basedOn w:val="style0"/>
    <w:next w:val="style43"/>
    <w:pPr>
      <w:suppressLineNumbers/>
    </w:pPr>
    <w:rPr/>
  </w:style>
  <w:style w:styleId="style44" w:type="paragraph">
    <w:name w:val="Table Heading"/>
    <w:basedOn w:val="style43"/>
    <w:next w:val="style44"/>
    <w:pPr>
      <w:suppressLineNumbers/>
      <w:jc w:val="center"/>
    </w:pPr>
    <w:rPr>
      <w:b/>
      <w:bCs/>
    </w:rPr>
  </w:style>
  <w:style w:styleId="style45" w:type="paragraph">
    <w:name w:val="Frame Contents"/>
    <w:basedOn w:val="style0"/>
    <w:next w:val="style4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3360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2016-02-01T09:44:00Z</dcterms:created>
  <dc:creator>Altec Customer</dc:creator>
  <cp:lastModifiedBy>ttsiami</cp:lastModifiedBy>
  <cp:lastPrinted>2017-07-18T11:12:00Z</cp:lastPrinted>
  <dcterms:modified xsi:type="dcterms:W3CDTF">2017-07-20T10:23:00Z</dcterms:modified>
  <cp:revision>23</cp:revision>
  <dc:title>ΕΝΤΥΠΟ Π3</dc:title>
</cp:coreProperties>
</file>