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false"/>
        <w:jc w:val="center"/>
        <w:rPr>
          <w:rFonts w:ascii="Arial" w:cs="Arial" w:hAnsi="Arial"/>
          <w:b/>
          <w:u w:val="single"/>
          <w:lang w:val="en-US"/>
        </w:rPr>
      </w:pPr>
      <w:r>
        <w:rPr>
          <w:rFonts w:ascii="Arial" w:cs="Arial" w:hAnsi="Arial"/>
          <w:b/>
          <w:u w:val="single"/>
        </w:rPr>
        <w:t>ΕΝΤΥΠΟ Π</w:t>
      </w:r>
      <w:r>
        <w:rPr>
          <w:rFonts w:ascii="Arial" w:cs="Arial" w:hAnsi="Arial"/>
          <w:b/>
          <w:u w:val="single"/>
          <w:lang w:val="en-US"/>
        </w:rPr>
        <w:t>2</w:t>
      </w:r>
    </w:p>
    <w:p>
      <w:pPr>
        <w:pStyle w:val="style0"/>
        <w:suppressAutoHyphens w:val="false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</w:r>
    </w:p>
    <w:p>
      <w:pPr>
        <w:pStyle w:val="style0"/>
        <w:suppressAutoHyphens w:val="false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ΠΙΝΑΚΑΣ ΜΕΤΑΒΟΛΩΝ ΑΡΙΘΜΟΥ ΠΡΟΣΩΠΙΚΟΥ</w:t>
      </w:r>
    </w:p>
    <w:p>
      <w:pPr>
        <w:pStyle w:val="style0"/>
        <w:suppressAutoHyphens w:val="false"/>
        <w:jc w:val="center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uppressAutoHyphens w:val="false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ΑΠΟΚΕΝΤΡΩΜΕΝΗ ΔΙΟΙΚΗΣΗ ΑΤΤΙΚΗΣ </w:t>
      </w:r>
    </w:p>
    <w:p>
      <w:pPr>
        <w:pStyle w:val="style0"/>
        <w:suppressAutoHyphens w:val="false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Ειδικός Φορέας 991-06/072</w:t>
      </w:r>
    </w:p>
    <w:p>
      <w:pPr>
        <w:pStyle w:val="style0"/>
        <w:suppressAutoHyphens w:val="false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tbl>
      <w:tblPr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516"/>
        <w:gridCol w:w="4348"/>
        <w:gridCol w:w="4423"/>
      </w:tblGrid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4348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ΕΝΙΑΙΟ ΜΙΣΘΟΛΟΓΙΟ</w:t>
            </w:r>
          </w:p>
        </w:tc>
        <w:tc>
          <w:tcPr>
            <w:tcW w:type="dxa" w:w="4423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ΕΙΔΙΚΟ ΜΙΣΘΟΛΟΓΙΟ</w:t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Μόνιμοι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(Α)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ΙΔΑΧ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(Β)</w:t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ΙΔΟΧ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(Γ)</w:t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Σύνολο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(Α)+(Β)+(Γ)</w:t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Μόνιμοι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(Α)</w:t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ΙΔΑΧ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(Β)</w:t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ΙΔΟΧ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(Γ)</w:t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Σύνολο</w:t>
            </w:r>
          </w:p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(Α)+(Β)+(Γ)</w:t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42"/>
              <w:numPr>
                <w:ilvl w:val="0"/>
                <w:numId w:val="2"/>
              </w:numPr>
              <w:tabs>
                <w:tab w:leader="none" w:pos="284" w:val="left"/>
              </w:tabs>
              <w:suppressAutoHyphens w:val="false"/>
              <w:ind w:hanging="0" w:left="0" w:right="-108"/>
              <w:rPr>
                <w:rFonts w:ascii="Arial" w:cs="Arial" w:hAnsi="Arial"/>
                <w:b/>
                <w:sz w:val="20"/>
                <w:vertAlign w:val="superscript"/>
              </w:rPr>
            </w:pPr>
            <w:r>
              <w:rPr>
                <w:rFonts w:ascii="Arial" w:cs="Arial" w:hAnsi="Arial"/>
                <w:b/>
                <w:sz w:val="20"/>
              </w:rPr>
              <w:t>Υπηρετούντες στο τέλος του προηγούμενου τριμήνου</w:t>
            </w:r>
            <w:r>
              <w:rPr>
                <w:rFonts w:ascii="Arial" w:cs="Arial" w:hAnsi="Arial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sz w:val="20"/>
                <w:vertAlign w:val="superscript"/>
              </w:rPr>
              <w:t>1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56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12</w:t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-</w:t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68</w:t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42"/>
              <w:numPr>
                <w:ilvl w:val="0"/>
                <w:numId w:val="2"/>
              </w:numPr>
              <w:tabs>
                <w:tab w:leader="none" w:pos="284" w:val="left"/>
              </w:tabs>
              <w:suppressAutoHyphens w:val="false"/>
              <w:ind w:hanging="0" w:left="0" w:right="-108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Εισροές προσωπικού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Προσλήψεις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1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 xml:space="preserve">Λοιπές Μετατάξεις/αποσπάσεις κλπ 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1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42"/>
              <w:numPr>
                <w:ilvl w:val="0"/>
                <w:numId w:val="2"/>
              </w:numPr>
              <w:tabs>
                <w:tab w:leader="none" w:pos="284" w:val="left"/>
              </w:tabs>
              <w:suppressAutoHyphens w:val="false"/>
              <w:ind w:hanging="0" w:left="0" w:right="-108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Εκροές προσωπικού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Αποχωρήσεις λόγω συνταξιοδότησης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Αποχωρήσεις λόγω απολύσεων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>Λοιπές αποχωρήσεις (θάνατοι κλπ)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  <w:t xml:space="preserve">Λοιπές Μετατάξεις/αποσπάσεις κλπ 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rPr>
                <w:rFonts w:ascii="Arial" w:cs="Arial" w:hAnsi="Arial"/>
                <w:sz w:val="20"/>
                <w:szCs w:val="22"/>
              </w:rPr>
            </w:pPr>
            <w:r>
              <w:rPr>
                <w:rFonts w:ascii="Arial" w:cs="Arial" w:hAnsi="Arial"/>
                <w:sz w:val="20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rPr>
                <w:rFonts w:ascii="Arial" w:cs="Arial" w:hAnsi="Arial"/>
                <w:sz w:val="20"/>
                <w:szCs w:val="12"/>
              </w:rPr>
            </w:pPr>
            <w:r>
              <w:rPr>
                <w:rFonts w:ascii="Arial" w:cs="Arial" w:hAnsi="Arial"/>
                <w:sz w:val="20"/>
                <w:szCs w:val="12"/>
              </w:rPr>
              <w:t>Αλλαγή Ειδικού Φορέα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  <w:szCs w:val="12"/>
              </w:rPr>
            </w:pPr>
            <w:r>
              <w:rPr>
                <w:rFonts w:ascii="Arial" w:cs="Arial" w:hAnsi="Arial"/>
                <w:b/>
                <w:sz w:val="20"/>
                <w:szCs w:val="12"/>
              </w:rPr>
            </w:r>
          </w:p>
        </w:tc>
      </w:tr>
      <w:tr>
        <w:trPr>
          <w:cantSplit w:val="false"/>
        </w:trPr>
        <w:tc>
          <w:tcPr>
            <w:tcW w:type="dxa" w:w="65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42"/>
              <w:numPr>
                <w:ilvl w:val="0"/>
                <w:numId w:val="2"/>
              </w:numPr>
              <w:suppressAutoHyphens w:val="false"/>
              <w:ind w:hanging="262" w:left="262" w:right="0"/>
              <w:rPr>
                <w:rFonts w:ascii="Arial" w:cs="Arial" w:hAnsi="Arial"/>
                <w:b/>
                <w:sz w:val="20"/>
                <w:vertAlign w:val="superscript"/>
              </w:rPr>
            </w:pPr>
            <w:r>
              <w:rPr>
                <w:rFonts w:ascii="Arial" w:cs="Arial" w:hAnsi="Arial"/>
                <w:b/>
                <w:sz w:val="20"/>
              </w:rPr>
              <w:t>Υπηρετούντες στο τέλος του τριμήνου (4=1+2+3)</w:t>
            </w:r>
            <w:r>
              <w:rPr>
                <w:rFonts w:ascii="Arial" w:cs="Arial" w:hAnsi="Arial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sz w:val="20"/>
                <w:vertAlign w:val="superscript"/>
              </w:rPr>
              <w:t>1</w:t>
            </w:r>
          </w:p>
        </w:tc>
        <w:tc>
          <w:tcPr>
            <w:tcW w:type="dxa" w:w="11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58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12</w:t>
            </w:r>
          </w:p>
        </w:tc>
        <w:tc>
          <w:tcPr>
            <w:tcW w:type="dxa" w:w="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-</w:t>
            </w:r>
          </w:p>
        </w:tc>
        <w:tc>
          <w:tcPr>
            <w:tcW w:type="dxa" w:w="12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70</w:t>
            </w:r>
          </w:p>
        </w:tc>
        <w:tc>
          <w:tcPr>
            <w:tcW w:type="dxa" w:w="12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0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9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  <w:tc>
          <w:tcPr>
            <w:tcW w:type="dxa" w:w="13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napToGrid w:val="false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</w:r>
          </w:p>
        </w:tc>
      </w:tr>
    </w:tbl>
    <w:p>
      <w:pPr>
        <w:pStyle w:val="style0"/>
        <w:suppressAutoHyphens w:val="false"/>
        <w:ind w:hanging="0" w:left="-567" w:right="-598"/>
        <w:rPr>
          <w:rFonts w:ascii="Arial" w:cs="Arial" w:hAnsi="Arial"/>
          <w:b/>
          <w:sz w:val="20"/>
          <w:szCs w:val="20"/>
          <w:u w:val="single"/>
          <w:lang w:val="en-US"/>
        </w:rPr>
      </w:pPr>
      <w:r>
        <w:rPr>
          <w:rFonts w:ascii="Arial" w:cs="Arial" w:hAnsi="Arial"/>
          <w:b/>
          <w:sz w:val="20"/>
          <w:szCs w:val="20"/>
          <w:u w:val="single"/>
          <w:lang w:val="en-US"/>
        </w:rPr>
      </w:r>
    </w:p>
    <w:p>
      <w:pPr>
        <w:pStyle w:val="style0"/>
        <w:suppressAutoHyphens w:val="false"/>
        <w:ind w:hanging="0" w:left="-567" w:right="-598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ΣΗΜΕΙΩΣΕΙΣ</w:t>
      </w:r>
      <w:r>
        <w:rPr>
          <w:rFonts w:ascii="Arial" w:cs="Arial" w:hAnsi="Arial"/>
          <w:b/>
          <w:sz w:val="20"/>
          <w:szCs w:val="20"/>
        </w:rPr>
        <w:t>:</w:t>
      </w:r>
    </w:p>
    <w:p>
      <w:pPr>
        <w:pStyle w:val="style42"/>
        <w:numPr>
          <w:ilvl w:val="0"/>
          <w:numId w:val="4"/>
        </w:numPr>
        <w:tabs>
          <w:tab w:leader="none" w:pos="-284" w:val="left"/>
        </w:tabs>
        <w:suppressAutoHyphens w:val="false"/>
        <w:ind w:hanging="0" w:left="-567" w:right="-598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Προσωπικό που βαρύνει τις πιστώσεις των ΚΑΕ μισθοδοσίας και συμφωνεί με τα αντίστοιχα μηνιαία στοιχεία της ΕΑΠ.                                                 ΑΘΗΝΑ,   19  </w:t>
      </w:r>
      <w:r>
        <w:rPr>
          <w:rFonts w:ascii="Arial" w:cs="Arial" w:hAnsi="Arial"/>
          <w:sz w:val="18"/>
          <w:szCs w:val="20"/>
          <w:lang w:val="en-US"/>
        </w:rPr>
        <w:t>/</w:t>
      </w:r>
      <w:r>
        <w:rPr>
          <w:rFonts w:ascii="Arial" w:cs="Arial" w:hAnsi="Arial"/>
          <w:sz w:val="18"/>
          <w:szCs w:val="20"/>
        </w:rPr>
        <w:t xml:space="preserve">  07 /  2017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eastAsia="Arial" w:hAnsi="Arial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sz w:val="22"/>
          <w:szCs w:val="22"/>
        </w:rPr>
        <w:t>Η ΔΙΕΥΘΥΝΤΡΙΑ ΟΙΚΟΝΟΜΙΚΟΥ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sz w:val="22"/>
          <w:szCs w:val="22"/>
        </w:rPr>
        <w:t>ΕΛΕΝΗ ΠΕΠΠΑ</w:t>
      </w:r>
    </w:p>
    <w:p>
      <w:pPr>
        <w:pStyle w:val="style0"/>
        <w:suppressAutoHyphens w:val="false"/>
        <w:ind w:hanging="0" w:left="0" w:right="-598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sectPr>
      <w:footerReference r:id="rId2" w:type="default"/>
      <w:type w:val="nextPage"/>
      <w:pgSz w:h="11906" w:orient="landscape" w:w="16838"/>
      <w:pgMar w:bottom="1134" w:footer="709" w:gutter="0" w:header="0" w:left="1134" w:right="1418" w:top="141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rPr/>
    </w:pPr>
    <w:r>
      <w:rPr/>
    </w:r>
    <w:r>
      <w:pict>
        <v:rect fillcolor="#FFFFFF" style="position:absolute;width:10pt;height:11.5pt;margin-top:0.05pt;margin-left:352.15pt">
          <v:textbox inset="0.05pt,0.05pt,0.05pt,0.05pt">
            <w:txbxContent>
              <w:p>
                <w:pPr>
                  <w:pStyle w:val="style41"/>
                  <w:rPr>
                    <w:rStyle w:val="style34"/>
                  </w:rPr>
                </w:pPr>
                <w:r>
                  <w:rPr>
                    <w:rStyle w:val="style34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side="largest" type="square"/>
        </v:rect>
      </w:pict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  <w:rPr/>
    </w:lvl>
    <w:lvl w:ilvl="2">
      <w:start w:val="1"/>
      <w:numFmt w:val="lowerRoman"/>
      <w:lvlText w:val="%3."/>
      <w:lvlJc w:val="right"/>
      <w:pPr>
        <w:ind w:hanging="180" w:left="2160"/>
      </w:pPr>
      <w:rPr/>
    </w:lvl>
    <w:lvl w:ilvl="3">
      <w:start w:val="1"/>
      <w:numFmt w:val="decimal"/>
      <w:lvlText w:val="%4."/>
      <w:lvlJc w:val="left"/>
      <w:pPr>
        <w:ind w:hanging="360" w:left="2880"/>
      </w:pPr>
      <w:rPr/>
    </w:lvl>
    <w:lvl w:ilvl="4">
      <w:start w:val="1"/>
      <w:numFmt w:val="lowerLetter"/>
      <w:lvlText w:val="%5."/>
      <w:lvlJc w:val="left"/>
      <w:pPr>
        <w:ind w:hanging="360" w:left="3600"/>
      </w:pPr>
      <w:rPr/>
    </w:lvl>
    <w:lvl w:ilvl="5">
      <w:start w:val="1"/>
      <w:numFmt w:val="lowerRoman"/>
      <w:lvlText w:val="%6."/>
      <w:lvlJc w:val="right"/>
      <w:pPr>
        <w:ind w:hanging="180" w:left="4320"/>
      </w:pPr>
      <w:rPr/>
    </w:lvl>
    <w:lvl w:ilvl="6">
      <w:start w:val="1"/>
      <w:numFmt w:val="decimal"/>
      <w:lvlText w:val="%7."/>
      <w:lvlJc w:val="left"/>
      <w:pPr>
        <w:ind w:hanging="360" w:left="5040"/>
      </w:pPr>
      <w:rPr/>
    </w:lvl>
    <w:lvl w:ilvl="7">
      <w:start w:val="1"/>
      <w:numFmt w:val="lowerLetter"/>
      <w:lvlText w:val="%8."/>
      <w:lvlJc w:val="left"/>
      <w:pPr>
        <w:ind w:hanging="360" w:left="5760"/>
      </w:pPr>
      <w:rPr/>
    </w:lvl>
    <w:lvl w:ilvl="8">
      <w:start w:val="1"/>
      <w:numFmt w:val="lowerRoman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5" w:type="character">
    <w:name w:val="WW8Num1z0"/>
    <w:next w:val="style15"/>
    <w:rPr/>
  </w:style>
  <w:style w:styleId="style16" w:type="character">
    <w:name w:val="WW8Num1z1"/>
    <w:next w:val="style16"/>
    <w:rPr/>
  </w:style>
  <w:style w:styleId="style17" w:type="character">
    <w:name w:val="WW8Num1z2"/>
    <w:next w:val="style17"/>
    <w:rPr/>
  </w:style>
  <w:style w:styleId="style18" w:type="character">
    <w:name w:val="WW8Num1z3"/>
    <w:next w:val="style18"/>
    <w:rPr/>
  </w:style>
  <w:style w:styleId="style19" w:type="character">
    <w:name w:val="WW8Num1z4"/>
    <w:next w:val="style19"/>
    <w:rPr/>
  </w:style>
  <w:style w:styleId="style20" w:type="character">
    <w:name w:val="WW8Num1z5"/>
    <w:next w:val="style20"/>
    <w:rPr/>
  </w:style>
  <w:style w:styleId="style21" w:type="character">
    <w:name w:val="WW8Num1z6"/>
    <w:next w:val="style21"/>
    <w:rPr/>
  </w:style>
  <w:style w:styleId="style22" w:type="character">
    <w:name w:val="WW8Num1z7"/>
    <w:next w:val="style22"/>
    <w:rPr/>
  </w:style>
  <w:style w:styleId="style23" w:type="character">
    <w:name w:val="WW8Num1z8"/>
    <w:next w:val="style23"/>
    <w:rPr/>
  </w:style>
  <w:style w:styleId="style24" w:type="character">
    <w:name w:val="WW8Num2z0"/>
    <w:next w:val="style24"/>
    <w:rPr/>
  </w:style>
  <w:style w:styleId="style25" w:type="character">
    <w:name w:val="WW8Num2z1"/>
    <w:next w:val="style25"/>
    <w:rPr/>
  </w:style>
  <w:style w:styleId="style26" w:type="character">
    <w:name w:val="WW8Num2z2"/>
    <w:next w:val="style26"/>
    <w:rPr/>
  </w:style>
  <w:style w:styleId="style27" w:type="character">
    <w:name w:val="WW8Num2z3"/>
    <w:next w:val="style27"/>
    <w:rPr/>
  </w:style>
  <w:style w:styleId="style28" w:type="character">
    <w:name w:val="WW8Num2z4"/>
    <w:next w:val="style28"/>
    <w:rPr/>
  </w:style>
  <w:style w:styleId="style29" w:type="character">
    <w:name w:val="WW8Num2z5"/>
    <w:next w:val="style29"/>
    <w:rPr/>
  </w:style>
  <w:style w:styleId="style30" w:type="character">
    <w:name w:val="WW8Num2z6"/>
    <w:next w:val="style30"/>
    <w:rPr/>
  </w:style>
  <w:style w:styleId="style31" w:type="character">
    <w:name w:val="WW8Num2z7"/>
    <w:next w:val="style31"/>
    <w:rPr/>
  </w:style>
  <w:style w:styleId="style32" w:type="character">
    <w:name w:val="WW8Num2z8"/>
    <w:next w:val="style32"/>
    <w:rPr/>
  </w:style>
  <w:style w:styleId="style33" w:type="character">
    <w:name w:val="Προεπιλεγμένη γραμματοσειρά"/>
    <w:next w:val="style33"/>
    <w:rPr/>
  </w:style>
  <w:style w:styleId="style34" w:type="character">
    <w:name w:val="Page Number"/>
    <w:basedOn w:val="style33"/>
    <w:next w:val="style34"/>
    <w:rPr/>
  </w:style>
  <w:style w:styleId="style35" w:type="character">
    <w:name w:val=" Char Char"/>
    <w:basedOn w:val="style33"/>
    <w:next w:val="style35"/>
    <w:rPr>
      <w:rFonts w:ascii="Times New Roman" w:cs="Times New Roman" w:eastAsia="Times New Roman" w:hAnsi="Times New Roman"/>
      <w:sz w:val="20"/>
      <w:szCs w:val="20"/>
    </w:rPr>
  </w:style>
  <w:style w:styleId="style36" w:type="paragraph">
    <w:name w:val="Heading"/>
    <w:basedOn w:val="style0"/>
    <w:next w:val="style3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7" w:type="paragraph">
    <w:name w:val="Text Body"/>
    <w:basedOn w:val="style0"/>
    <w:next w:val="style37"/>
    <w:pPr>
      <w:spacing w:after="120" w:before="0"/>
      <w:contextualSpacing w:val="false"/>
    </w:pPr>
    <w:rPr/>
  </w:style>
  <w:style w:styleId="style38" w:type="paragraph">
    <w:name w:val="List"/>
    <w:basedOn w:val="style37"/>
    <w:next w:val="style38"/>
    <w:pPr/>
    <w:rPr>
      <w:rFonts w:cs="Mangal"/>
    </w:rPr>
  </w:style>
  <w:style w:styleId="style39" w:type="paragraph">
    <w:name w:val="Caption"/>
    <w:basedOn w:val="style0"/>
    <w:next w:val="style3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0" w:type="paragraph">
    <w:name w:val="Index"/>
    <w:basedOn w:val="style0"/>
    <w:next w:val="style40"/>
    <w:pPr>
      <w:suppressLineNumbers/>
    </w:pPr>
    <w:rPr>
      <w:rFonts w:cs="Mangal"/>
    </w:rPr>
  </w:style>
  <w:style w:styleId="style41" w:type="paragraph">
    <w:name w:val="Footer"/>
    <w:basedOn w:val="style0"/>
    <w:next w:val="style41"/>
    <w:pPr>
      <w:tabs>
        <w:tab w:leader="none" w:pos="4153" w:val="center"/>
        <w:tab w:leader="none" w:pos="8306" w:val="right"/>
      </w:tabs>
    </w:pPr>
    <w:rPr>
      <w:sz w:val="20"/>
      <w:szCs w:val="20"/>
    </w:rPr>
  </w:style>
  <w:style w:styleId="style42" w:type="paragraph">
    <w:name w:val="Παράγραφος λίστας"/>
    <w:basedOn w:val="style0"/>
    <w:next w:val="style42"/>
    <w:pPr>
      <w:spacing w:after="0" w:before="0"/>
      <w:ind w:hanging="0" w:left="720" w:right="0"/>
      <w:contextualSpacing/>
    </w:pPr>
    <w:rPr/>
  </w:style>
  <w:style w:styleId="style43" w:type="paragraph">
    <w:name w:val="Header"/>
    <w:basedOn w:val="style0"/>
    <w:next w:val="style43"/>
    <w:pPr>
      <w:tabs>
        <w:tab w:leader="none" w:pos="4153" w:val="center"/>
        <w:tab w:leader="none" w:pos="8306" w:val="right"/>
      </w:tabs>
    </w:pPr>
    <w:rPr/>
  </w:style>
  <w:style w:styleId="style44" w:type="paragraph">
    <w:name w:val="Table Contents"/>
    <w:basedOn w:val="style0"/>
    <w:next w:val="style44"/>
    <w:pPr>
      <w:suppressLineNumbers/>
    </w:pPr>
    <w:rPr/>
  </w:style>
  <w:style w:styleId="style45" w:type="paragraph">
    <w:name w:val="Table Heading"/>
    <w:basedOn w:val="style44"/>
    <w:next w:val="style45"/>
    <w:pPr>
      <w:suppressLineNumbers/>
      <w:jc w:val="center"/>
    </w:pPr>
    <w:rPr>
      <w:b/>
      <w:bCs/>
    </w:rPr>
  </w:style>
  <w:style w:styleId="style46" w:type="paragraph">
    <w:name w:val="Frame Contents"/>
    <w:basedOn w:val="style0"/>
    <w:next w:val="style4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2016-02-01T09:44:00Z</dcterms:created>
  <dc:creator>Altec Customer</dc:creator>
  <cp:lastModifiedBy>ttsiami</cp:lastModifiedBy>
  <cp:lastPrinted>2017-01-27T11:36:00Z</cp:lastPrinted>
  <dcterms:modified xsi:type="dcterms:W3CDTF">2017-07-20T10:23:00Z</dcterms:modified>
  <cp:revision>17</cp:revision>
  <dc:title>ΕΝΤΥΠΟ Π3</dc:title>
</cp:coreProperties>
</file>